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37F5" w14:textId="77777777" w:rsidR="009160CE" w:rsidRPr="009160CE" w:rsidRDefault="009160CE" w:rsidP="009160CE">
      <w:pPr>
        <w:spacing w:before="180" w:after="180" w:line="540" w:lineRule="atLeast"/>
        <w:jc w:val="center"/>
        <w:rPr>
          <w:rFonts w:ascii="Merriweather" w:eastAsia="Times New Roman" w:hAnsi="Merriweather" w:cs="Times New Roman"/>
          <w:b/>
          <w:bCs/>
          <w:sz w:val="42"/>
          <w:szCs w:val="42"/>
          <w:lang w:eastAsia="ru-RU"/>
        </w:rPr>
      </w:pPr>
      <w:r w:rsidRPr="009160CE">
        <w:rPr>
          <w:rFonts w:ascii="Merriweather" w:eastAsia="Times New Roman" w:hAnsi="Merriweather" w:cs="Times New Roman"/>
          <w:b/>
          <w:bCs/>
          <w:sz w:val="42"/>
          <w:szCs w:val="42"/>
          <w:lang w:eastAsia="ru-RU"/>
        </w:rPr>
        <w:t>Федеральная налоговая служба</w:t>
      </w:r>
    </w:p>
    <w:p w14:paraId="6FD5700B" w14:textId="70C505CF" w:rsidR="009160CE" w:rsidRPr="009160CE" w:rsidRDefault="009160CE" w:rsidP="009160CE">
      <w:pPr>
        <w:spacing w:after="0" w:line="540" w:lineRule="atLeast"/>
        <w:jc w:val="center"/>
        <w:rPr>
          <w:rFonts w:ascii="Merriweather" w:eastAsia="Times New Roman" w:hAnsi="Merriweather" w:cs="Times New Roman"/>
          <w:b/>
          <w:bCs/>
          <w:sz w:val="42"/>
          <w:szCs w:val="42"/>
          <w:lang w:eastAsia="ru-RU"/>
        </w:rPr>
      </w:pPr>
      <w:r w:rsidRPr="009160CE">
        <w:rPr>
          <w:rFonts w:ascii="Merriweather" w:eastAsia="Times New Roman" w:hAnsi="Merriweather" w:cs="Times New Roman"/>
          <w:b/>
          <w:bCs/>
          <w:noProof/>
          <w:sz w:val="42"/>
          <w:szCs w:val="42"/>
          <w:lang w:eastAsia="ru-RU"/>
        </w:rPr>
        <w:drawing>
          <wp:inline distT="0" distB="0" distL="0" distR="0" wp14:anchorId="4ED06421" wp14:editId="60ECA00D">
            <wp:extent cx="668020" cy="73152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83F1E" w14:textId="77777777" w:rsidR="009160CE" w:rsidRPr="009160CE" w:rsidRDefault="009160CE" w:rsidP="009160CE">
      <w:pPr>
        <w:spacing w:before="180" w:after="180" w:line="540" w:lineRule="atLeast"/>
        <w:jc w:val="center"/>
        <w:rPr>
          <w:rFonts w:ascii="Merriweather" w:eastAsia="Times New Roman" w:hAnsi="Merriweather" w:cs="Times New Roman"/>
          <w:b/>
          <w:bCs/>
          <w:sz w:val="42"/>
          <w:szCs w:val="42"/>
          <w:lang w:eastAsia="ru-RU"/>
        </w:rPr>
      </w:pPr>
      <w:r w:rsidRPr="009160CE">
        <w:rPr>
          <w:rFonts w:ascii="Merriweather" w:eastAsia="Times New Roman" w:hAnsi="Merriweather" w:cs="Times New Roman"/>
          <w:b/>
          <w:bCs/>
          <w:sz w:val="42"/>
          <w:szCs w:val="42"/>
          <w:lang w:eastAsia="ru-RU"/>
        </w:rPr>
        <w:t>Письмо</w:t>
      </w:r>
    </w:p>
    <w:p w14:paraId="0ADA5C1C" w14:textId="77777777" w:rsidR="009160CE" w:rsidRPr="009160CE" w:rsidRDefault="009160CE" w:rsidP="009160CE">
      <w:pPr>
        <w:spacing w:before="120" w:after="0" w:line="540" w:lineRule="atLeast"/>
        <w:jc w:val="center"/>
        <w:outlineLvl w:val="0"/>
        <w:rPr>
          <w:rFonts w:ascii="Merriweather" w:eastAsia="Times New Roman" w:hAnsi="Merriweather" w:cs="Times New Roman"/>
          <w:b/>
          <w:bCs/>
          <w:kern w:val="36"/>
          <w:sz w:val="42"/>
          <w:szCs w:val="42"/>
          <w:lang w:eastAsia="ru-RU"/>
        </w:rPr>
      </w:pPr>
      <w:r w:rsidRPr="009160CE">
        <w:rPr>
          <w:rFonts w:ascii="Merriweather" w:eastAsia="Times New Roman" w:hAnsi="Merriweather" w:cs="Times New Roman"/>
          <w:b/>
          <w:bCs/>
          <w:kern w:val="36"/>
          <w:sz w:val="42"/>
          <w:szCs w:val="42"/>
          <w:lang w:eastAsia="ru-RU"/>
        </w:rPr>
        <w:t>№ БС-4-11/739@ от 28.01.2025</w:t>
      </w:r>
    </w:p>
    <w:p w14:paraId="203F0AB2" w14:textId="77777777" w:rsidR="009160CE" w:rsidRDefault="009160CE" w:rsidP="009160CE">
      <w:pPr>
        <w:spacing w:after="240" w:line="390" w:lineRule="atLeast"/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</w:pPr>
    </w:p>
    <w:p w14:paraId="672E00A1" w14:textId="585DC442" w:rsidR="009160CE" w:rsidRPr="009160CE" w:rsidRDefault="009160CE" w:rsidP="009160CE">
      <w:pPr>
        <w:spacing w:after="240" w:line="390" w:lineRule="atLeast"/>
        <w:jc w:val="both"/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</w:pPr>
      <w:r w:rsidRPr="009160CE"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  <w:t> Федеральная налоговая служба по вопросу исчисления налога на доходы физических лиц с сумм районных коэффициентов и надбавок, выплачиваемых в связи с работой в районах Крайнего Севера, приравненных к ним местностях, других местностях (районах) с неблагоприятными (особыми) климатическими или экологическими условиями, и сообщает следующее.</w:t>
      </w:r>
    </w:p>
    <w:p w14:paraId="6ADB0D0F" w14:textId="77777777" w:rsidR="009160CE" w:rsidRPr="009160CE" w:rsidRDefault="009160CE" w:rsidP="009160CE">
      <w:pPr>
        <w:spacing w:before="240" w:after="240" w:line="390" w:lineRule="atLeast"/>
        <w:jc w:val="both"/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</w:pPr>
      <w:r w:rsidRPr="009160CE"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  <w:t>В соответствии с пунктом 6.2 статьи 210 Налогового кодекса Российской Федерации (далее - Кодекс) налоговая база по налогу на доходы физических лиц (далее - НДФЛ), в отношении которой применяется налоговая ставка, предусмотренная пунктом 1.2 статьи 224 Кодекса, определяется по доходам в виде оплаты труда (денежного довольствия, денежного содержания), получаемой (получаемого) лицами, работающими (служащими) в районах Крайнего Севера, приравненных к ним местностях, других местностях (районах) с неблагоприятными (особыми) климатическими или экологическими условиями, в части, относящейся к установленным в соответствии с законодательством Российской Федерации районным коэффициентам к заработной плате (денежному довольствию, денежному содержанию) за работу (службу) в данных районах или местностях и процентным надбавкам к заработной плате (денежному довольствию, денежному содержанию) за работу (службу) в данных районах или местностях.</w:t>
      </w:r>
    </w:p>
    <w:p w14:paraId="7090D9DA" w14:textId="77777777" w:rsidR="009160CE" w:rsidRPr="009160CE" w:rsidRDefault="009160CE" w:rsidP="009160CE">
      <w:pPr>
        <w:spacing w:before="240" w:after="240" w:line="390" w:lineRule="atLeast"/>
        <w:jc w:val="both"/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</w:pPr>
      <w:r w:rsidRPr="009160CE"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  <w:t xml:space="preserve">Предусмотренная указанным пунктом статьи 210 Кодекса налоговая база определяется как денежное выражение доходов, подлежащих обложению НДФЛ и учитываемых при определении указанной налоговой базы, уменьшенных на сумму налоговых вычетов, </w:t>
      </w:r>
      <w:r w:rsidRPr="009160CE"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  <w:lastRenderedPageBreak/>
        <w:t>предусмотренных статьями 218 - 220 Кодекса, с учетом особенностей, установленных главой 23 Кодекса, если такие вычеты не были применены при исчислении иных налоговых баз в соответствии с главой 23 Кодекса.</w:t>
      </w:r>
    </w:p>
    <w:p w14:paraId="0002857F" w14:textId="77777777" w:rsidR="009160CE" w:rsidRPr="009160CE" w:rsidRDefault="009160CE" w:rsidP="009160CE">
      <w:pPr>
        <w:spacing w:before="240" w:after="240" w:line="390" w:lineRule="atLeast"/>
        <w:jc w:val="both"/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</w:pPr>
      <w:r w:rsidRPr="009160CE"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  <w:t>Пункт 6.2 статьи 210 Кодекса применяется к установленным в соответствии с законодательством Российской Федерации районным коэффициентам и надбавкам к заработной плате (денежному довольствию, денежному содержанию), при условии, что соответствующие доходы выплачиваются в связи с работой (службой) в районах Крайнего Севера, приравненных к ним местностях, других местностях (районах) с неблагоприятными (особыми) климатическими или экологическими условиями.</w:t>
      </w:r>
    </w:p>
    <w:p w14:paraId="7BC81201" w14:textId="77777777" w:rsidR="009160CE" w:rsidRPr="009160CE" w:rsidRDefault="009160CE" w:rsidP="009160CE">
      <w:pPr>
        <w:spacing w:before="240" w:after="240" w:line="390" w:lineRule="atLeast"/>
        <w:jc w:val="both"/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</w:pPr>
      <w:r w:rsidRPr="009160CE"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  <w:t>Согласно пункту 1.2 статьи 224 Кодекса налоговая ставка по НДФЛ устанавливается в размере 13 процентов - если сумма налоговых баз, указанных в пунктах 6.1 и 6.2 статьи 210 Кодекса, за налоговый период составляет не более 5 миллионов рублей; и 650 тысяч рублей и 15 процентов суммы налоговых баз, указанных в пунктах 6.1 и 6.2 статьи 210 Кодекса, превышающей 5 миллионов рублей, - если сумма налоговых баз, указанных в пунктах 6.1 и 6.2 статьи 210 Кодекса, за налоговый период составляет более 5 миллионов рублей.</w:t>
      </w:r>
    </w:p>
    <w:p w14:paraId="4567AB66" w14:textId="77777777" w:rsidR="009160CE" w:rsidRPr="009160CE" w:rsidRDefault="009160CE" w:rsidP="009160CE">
      <w:pPr>
        <w:spacing w:before="240" w:after="240" w:line="390" w:lineRule="atLeast"/>
        <w:jc w:val="both"/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</w:pPr>
      <w:r w:rsidRPr="009160CE"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  <w:t>Налоговая ставка, установленная указанным пунктом, подлежит применению в отношении совокупности всех доходов физического лица - налогового резидента Российской Федерации, указанных в пунктах 6.1 и 6.2 статьи 210 Кодекса.</w:t>
      </w:r>
    </w:p>
    <w:p w14:paraId="35273335" w14:textId="77777777" w:rsidR="009160CE" w:rsidRPr="009160CE" w:rsidRDefault="009160CE" w:rsidP="009160CE">
      <w:pPr>
        <w:spacing w:before="240" w:after="240" w:line="390" w:lineRule="atLeast"/>
        <w:jc w:val="both"/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</w:pPr>
      <w:r w:rsidRPr="009160CE"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  <w:t xml:space="preserve">В соответствии со статьей 139 Трудового кодекса Российской Федерации и пунктом 2 Положения об особенностях порядка исчисления средней заработной платы, утвержденного Постановлением Правительства Российской Федерации от 24.12.2007 N 922 "Об особенностях порядка исчисления средней заработной платы" для расчета среднего заработка учитываются все предусмотренные системой оплаты труда виды выплат, применяемые у соответствующего работодателя, независимо от источников этих выплат. К таким выплатам, в частности, относятся выплаты, связанные с условиями труда, в том числе выплаты, обусловленные районным регулированием </w:t>
      </w:r>
      <w:r w:rsidRPr="009160CE"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  <w:lastRenderedPageBreak/>
        <w:t>оплаты труда (в виде коэффициентов и процентных надбавок к заработной плате).</w:t>
      </w:r>
    </w:p>
    <w:p w14:paraId="3BE45936" w14:textId="77777777" w:rsidR="009160CE" w:rsidRPr="009160CE" w:rsidRDefault="009160CE" w:rsidP="009160CE">
      <w:pPr>
        <w:spacing w:before="240" w:after="240" w:line="390" w:lineRule="atLeast"/>
        <w:jc w:val="both"/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</w:pPr>
      <w:r w:rsidRPr="009160CE"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  <w:t>Учитывая изложенное, часть выплаты (например, оплата отпуска), рассчитанная исходя из средней заработной платы, относящейся к установленным в соответствии с законодательством Российской Федерации суммам районных коэффициентов и надбавок, выплачиваемых в связи с работой в районах Крайнего Севера, приравненных к ним местностях, других местностях (районах) с неблагоприятными (особыми) климатическими или экологическими условиями, относится к налоговой базе, указанной в пункте 6.2 статьи 210 Кодекса, в отношении которой применяется налоговая ставка, предусмотренная пунктом 1.2 статьи 224 Кодекса.</w:t>
      </w:r>
    </w:p>
    <w:p w14:paraId="423F481B" w14:textId="77777777" w:rsidR="009160CE" w:rsidRPr="009160CE" w:rsidRDefault="009160CE" w:rsidP="009160CE">
      <w:pPr>
        <w:spacing w:before="240" w:after="240" w:line="390" w:lineRule="atLeast"/>
        <w:jc w:val="both"/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</w:pPr>
      <w:r w:rsidRPr="009160CE"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  <w:t>Одновременно сообщается, что вопросы применения размеров районных коэффициентов и процентных надбавок к заработной плате лиц, работающих (служащих) в районах Крайнего Севера, приравненных к ним местностях, других местностях (районах) с неблагоприятными (особыми) климатическими или экологическими условиями, регулируются нормами Трудового кодекса Российской Федерации и относятся к компетенции Министерства труда и социальной защиты Российской Федерации.</w:t>
      </w:r>
    </w:p>
    <w:p w14:paraId="10BE0555" w14:textId="77777777" w:rsidR="009160CE" w:rsidRPr="009160CE" w:rsidRDefault="009160CE" w:rsidP="009160CE">
      <w:pPr>
        <w:spacing w:before="240" w:after="240" w:line="390" w:lineRule="atLeast"/>
        <w:jc w:val="both"/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</w:pPr>
      <w:r w:rsidRPr="009160CE"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  <w:t>Управлениям ФНС России по субъектам Российской Федерации довести настоящее письмо до нижестоящих налоговых органов.</w:t>
      </w:r>
    </w:p>
    <w:p w14:paraId="64DF5954" w14:textId="77777777" w:rsidR="009160CE" w:rsidRPr="009160CE" w:rsidRDefault="009160CE" w:rsidP="009160CE">
      <w:pPr>
        <w:spacing w:before="240" w:after="240" w:line="390" w:lineRule="atLeast"/>
        <w:jc w:val="both"/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</w:pPr>
      <w:r w:rsidRPr="009160CE"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  <w:t>Действительный</w:t>
      </w:r>
    </w:p>
    <w:p w14:paraId="6772E858" w14:textId="77777777" w:rsidR="009160CE" w:rsidRPr="009160CE" w:rsidRDefault="009160CE" w:rsidP="009160CE">
      <w:pPr>
        <w:spacing w:before="240" w:after="240" w:line="390" w:lineRule="atLeast"/>
        <w:jc w:val="both"/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</w:pPr>
      <w:r w:rsidRPr="009160CE"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  <w:t>государственный советник</w:t>
      </w:r>
    </w:p>
    <w:p w14:paraId="3E486956" w14:textId="77777777" w:rsidR="009160CE" w:rsidRPr="009160CE" w:rsidRDefault="009160CE" w:rsidP="009160CE">
      <w:pPr>
        <w:spacing w:before="240" w:after="240" w:line="390" w:lineRule="atLeast"/>
        <w:jc w:val="both"/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</w:pPr>
      <w:r w:rsidRPr="009160CE"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  <w:t>Российской Федерации</w:t>
      </w:r>
    </w:p>
    <w:p w14:paraId="7AFDDB42" w14:textId="77777777" w:rsidR="009160CE" w:rsidRPr="009160CE" w:rsidRDefault="009160CE" w:rsidP="009160CE">
      <w:pPr>
        <w:spacing w:before="240" w:after="240" w:line="390" w:lineRule="atLeast"/>
        <w:jc w:val="both"/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</w:pPr>
      <w:r w:rsidRPr="009160CE"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  <w:t>2 класса</w:t>
      </w:r>
    </w:p>
    <w:p w14:paraId="77D17D11" w14:textId="77777777" w:rsidR="009160CE" w:rsidRPr="009160CE" w:rsidRDefault="009160CE" w:rsidP="009160CE">
      <w:pPr>
        <w:spacing w:before="240" w:after="240" w:line="390" w:lineRule="atLeast"/>
        <w:jc w:val="both"/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</w:pPr>
      <w:r w:rsidRPr="009160CE">
        <w:rPr>
          <w:rFonts w:ascii="Roboto" w:eastAsia="Times New Roman" w:hAnsi="Roboto" w:cs="Times New Roman"/>
          <w:color w:val="0A0A0A"/>
          <w:sz w:val="27"/>
          <w:szCs w:val="27"/>
          <w:lang w:eastAsia="ru-RU"/>
        </w:rPr>
        <w:t>С.Л.БОНДАРЧУК</w:t>
      </w:r>
    </w:p>
    <w:p w14:paraId="7A5B1080" w14:textId="77777777" w:rsidR="00F83179" w:rsidRDefault="00F83179" w:rsidP="009160CE">
      <w:pPr>
        <w:jc w:val="both"/>
      </w:pPr>
    </w:p>
    <w:sectPr w:rsidR="00F8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CE"/>
    <w:rsid w:val="009160CE"/>
    <w:rsid w:val="00F8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CFDC"/>
  <w15:chartTrackingRefBased/>
  <w15:docId w15:val="{680DF0D1-4CED-400A-B324-873A2724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0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0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60CE"/>
    <w:rPr>
      <w:color w:val="0000FF"/>
      <w:u w:val="single"/>
    </w:rPr>
  </w:style>
  <w:style w:type="character" w:customStyle="1" w:styleId="comments-buttonlabel">
    <w:name w:val="comments-button__label"/>
    <w:basedOn w:val="a0"/>
    <w:rsid w:val="009160CE"/>
  </w:style>
  <w:style w:type="character" w:customStyle="1" w:styleId="favoritenumber">
    <w:name w:val="favorite__number"/>
    <w:basedOn w:val="a0"/>
    <w:rsid w:val="009160CE"/>
  </w:style>
  <w:style w:type="character" w:customStyle="1" w:styleId="visually-hidden">
    <w:name w:val="visually-hidden"/>
    <w:basedOn w:val="a0"/>
    <w:rsid w:val="009160CE"/>
  </w:style>
  <w:style w:type="character" w:customStyle="1" w:styleId="core-count-format">
    <w:name w:val="core-count-format"/>
    <w:basedOn w:val="a0"/>
    <w:rsid w:val="0091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460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6043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9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Ponomareva</dc:creator>
  <cp:keywords/>
  <dc:description/>
  <cp:lastModifiedBy>Elena Ponomareva</cp:lastModifiedBy>
  <cp:revision>1</cp:revision>
  <dcterms:created xsi:type="dcterms:W3CDTF">2025-02-03T04:39:00Z</dcterms:created>
  <dcterms:modified xsi:type="dcterms:W3CDTF">2025-02-03T04:41:00Z</dcterms:modified>
</cp:coreProperties>
</file>